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D87EF" w14:textId="77777777" w:rsidR="00744E3A" w:rsidRDefault="00744E3A" w:rsidP="00F316FE">
      <w:pPr>
        <w:rPr>
          <w:rFonts w:ascii="72 Brand" w:hAnsi="72 Brand"/>
          <w:b/>
          <w:bCs/>
          <w:sz w:val="32"/>
          <w:szCs w:val="32"/>
          <w:lang w:val="es-ES"/>
        </w:rPr>
      </w:pPr>
    </w:p>
    <w:p w14:paraId="3B174E9A" w14:textId="2EAFA36E" w:rsidR="00F316FE" w:rsidRPr="00F316FE" w:rsidRDefault="00F316FE" w:rsidP="00F316FE">
      <w:pPr>
        <w:rPr>
          <w:rFonts w:ascii="72 Brand" w:hAnsi="72 Brand"/>
          <w:b/>
          <w:bCs/>
          <w:sz w:val="32"/>
          <w:szCs w:val="32"/>
          <w:lang w:val="es-ES"/>
        </w:rPr>
      </w:pPr>
      <w:r w:rsidRPr="00F316FE">
        <w:rPr>
          <w:rFonts w:ascii="72 Brand" w:hAnsi="72 Brand"/>
          <w:b/>
          <w:bCs/>
          <w:sz w:val="32"/>
          <w:szCs w:val="32"/>
          <w:lang w:val="es-ES"/>
        </w:rPr>
        <w:t>Innovación en Movimiento: Telefónica Transforma el Business Travel a Escala Global</w:t>
      </w:r>
    </w:p>
    <w:p w14:paraId="359A7057" w14:textId="0E7D1300" w:rsidR="00C652B2" w:rsidRDefault="00F316FE">
      <w:pPr>
        <w:rPr>
          <w:rFonts w:ascii="72 Brand" w:hAnsi="72 Brand"/>
          <w:sz w:val="28"/>
          <w:szCs w:val="28"/>
          <w:lang w:val="es-ES"/>
        </w:rPr>
      </w:pPr>
      <w:r w:rsidRPr="00F316FE">
        <w:rPr>
          <w:rFonts w:ascii="72 Brand" w:hAnsi="72 Brand"/>
          <w:sz w:val="28"/>
          <w:szCs w:val="28"/>
          <w:lang w:val="es-ES"/>
        </w:rPr>
        <w:t>Telefónica impulsa, desde España, una nueva era en la gestión de viajes corporativos con SAP Concur.</w:t>
      </w:r>
    </w:p>
    <w:p w14:paraId="3E3DC5DF" w14:textId="77777777" w:rsidR="00221482" w:rsidRPr="00D62C66" w:rsidRDefault="00221482">
      <w:pPr>
        <w:rPr>
          <w:rFonts w:ascii="72 Brand" w:hAnsi="72 Brand"/>
          <w:b/>
          <w:bCs/>
          <w:color w:val="4C94D8" w:themeColor="text2" w:themeTint="80"/>
          <w:lang w:val="es-ES"/>
        </w:rPr>
      </w:pPr>
    </w:p>
    <w:p w14:paraId="7F1D88B7" w14:textId="36D9BB7C" w:rsidR="00DB1E75" w:rsidRPr="00DB1E75" w:rsidRDefault="00FA52F9" w:rsidP="00DB1E75">
      <w:pPr>
        <w:rPr>
          <w:rFonts w:ascii="72 Brand" w:hAnsi="72 Brand"/>
          <w:b/>
          <w:bCs/>
          <w:color w:val="4C94D8" w:themeColor="text2" w:themeTint="80"/>
          <w:lang w:val="es-ES"/>
        </w:rPr>
      </w:pPr>
      <w:r>
        <w:rPr>
          <w:rFonts w:ascii="72 Brand" w:hAnsi="72 Brand"/>
          <w:b/>
          <w:bCs/>
          <w:color w:val="4C94D8" w:themeColor="text2" w:themeTint="80"/>
          <w:lang w:val="es-ES"/>
        </w:rPr>
        <w:t>Origen de l</w:t>
      </w:r>
      <w:r w:rsidR="00DB1E75" w:rsidRPr="00DB1E75">
        <w:rPr>
          <w:rFonts w:ascii="72 Brand" w:hAnsi="72 Brand"/>
          <w:b/>
          <w:bCs/>
          <w:color w:val="4C94D8" w:themeColor="text2" w:themeTint="80"/>
          <w:lang w:val="es-ES"/>
        </w:rPr>
        <w:t>a alianza estratégica entre Telefónica y SAP Concur</w:t>
      </w:r>
    </w:p>
    <w:p w14:paraId="7B8BA5BC" w14:textId="77777777" w:rsidR="00F316FE" w:rsidRPr="00F316FE" w:rsidRDefault="00F316FE" w:rsidP="00F316FE">
      <w:pPr>
        <w:rPr>
          <w:rFonts w:ascii="72 Brand" w:hAnsi="72 Brand"/>
          <w:lang w:val="es-ES"/>
        </w:rPr>
      </w:pPr>
      <w:r w:rsidRPr="00F316FE">
        <w:rPr>
          <w:rFonts w:ascii="72 Brand" w:hAnsi="72 Brand"/>
          <w:lang w:val="es-ES"/>
        </w:rPr>
        <w:t>En Telefónica, la innovación y la eficiencia siempre han estado en el centro de la toma de decisiones. Como compañía global con miles de empleados viajando constantemente, la gestión de los viajes corporativos representa un componente clave tanto en términos operativos como financieros. Por ello, hace algunos años, Telefónica comenzó un proceso de revisión profunda de sus sistemas de gestión de gastos y viajes, con un objetivo claro: ganar visibilidad, control y eficiencia, alineando este ámbito con su estrategia de transformación digital.</w:t>
      </w:r>
    </w:p>
    <w:p w14:paraId="37622345" w14:textId="77777777" w:rsidR="00F316FE" w:rsidRPr="00F316FE" w:rsidRDefault="00F316FE" w:rsidP="00F316FE">
      <w:pPr>
        <w:rPr>
          <w:rFonts w:ascii="72 Brand" w:hAnsi="72 Brand"/>
          <w:lang w:val="es-ES"/>
        </w:rPr>
      </w:pPr>
    </w:p>
    <w:p w14:paraId="6097EEB6" w14:textId="3D428913" w:rsidR="00F316FE" w:rsidRPr="00F316FE" w:rsidRDefault="00F316FE" w:rsidP="00F316FE">
      <w:pPr>
        <w:rPr>
          <w:rFonts w:ascii="72 Brand" w:hAnsi="72 Brand"/>
          <w:lang w:val="es-ES"/>
        </w:rPr>
      </w:pPr>
      <w:r w:rsidRPr="00F316FE">
        <w:rPr>
          <w:rFonts w:ascii="72 Brand" w:hAnsi="72 Brand"/>
          <w:lang w:val="es-ES"/>
        </w:rPr>
        <w:t>Este proceso no surgió de una necesidad puntual, sino como parte de una evolución más amplia hacia un modelo de gestión más ágil y centralizado. En ese camino, Telefónica identificó que necesitaba una solución tecnológica que no solo facilitara la gestión operativa, sino que también aportara inteligencia al proceso. Fue así como, tras un análisis riguroso, la compañía decidió apostar por SAP Concur como solución global para la gestión de viajes y gastos.</w:t>
      </w:r>
      <w:r>
        <w:rPr>
          <w:rFonts w:ascii="72 Brand" w:hAnsi="72 Brand"/>
          <w:lang w:val="es-ES"/>
        </w:rPr>
        <w:t xml:space="preserve"> </w:t>
      </w:r>
      <w:r w:rsidRPr="00F316FE">
        <w:rPr>
          <w:rFonts w:ascii="72 Brand" w:hAnsi="72 Brand"/>
          <w:lang w:val="es-ES"/>
        </w:rPr>
        <w:t>La elección de SAP Concur no fue una decisión aislada, sino un paso natural dentro del ecosistema tecnológico que Telefónica venía construyendo. La compañía ya había definido S/4HANA como su plataforma central, y la incorporación de soluciones complementarias como SAP Concur encajaba perfectamente en su visión de una arquitectura integrada, moderna y escalable.</w:t>
      </w:r>
    </w:p>
    <w:p w14:paraId="3FADABB0" w14:textId="77777777" w:rsidR="00F316FE" w:rsidRPr="00F316FE" w:rsidRDefault="00F316FE" w:rsidP="00F316FE">
      <w:pPr>
        <w:rPr>
          <w:rFonts w:ascii="72 Brand" w:hAnsi="72 Brand"/>
          <w:lang w:val="es-ES"/>
        </w:rPr>
      </w:pPr>
    </w:p>
    <w:p w14:paraId="04A0442D" w14:textId="77777777" w:rsidR="00F316FE" w:rsidRPr="00F316FE" w:rsidRDefault="00F316FE" w:rsidP="00F316FE">
      <w:pPr>
        <w:rPr>
          <w:rFonts w:ascii="72 Brand" w:hAnsi="72 Brand"/>
          <w:lang w:val="es-ES"/>
        </w:rPr>
      </w:pPr>
      <w:r w:rsidRPr="00F316FE">
        <w:rPr>
          <w:rFonts w:ascii="72 Brand" w:hAnsi="72 Brand"/>
          <w:lang w:val="es-ES"/>
        </w:rPr>
        <w:t>Uno de los grandes retos en esta transformación fue asegurar que la solución no solo respondiera a las necesidades del área financiera, sino que también mejorara la experiencia del empleado. Por eso, la movilidad, la usabilidad y la automatización fueron aspectos clave a la hora de implementar la herramienta. La visión era clara: reducir tiempos administrativos, eliminar errores manuales, evitar fraudes y garantizar el cumplimiento normativo en todos los mercados donde opera Telefónica.</w:t>
      </w:r>
    </w:p>
    <w:p w14:paraId="13641F88" w14:textId="77777777" w:rsidR="00F316FE" w:rsidRPr="00F316FE" w:rsidRDefault="00F316FE" w:rsidP="00F316FE">
      <w:pPr>
        <w:rPr>
          <w:rFonts w:ascii="72 Brand" w:hAnsi="72 Brand"/>
          <w:lang w:val="es-ES"/>
        </w:rPr>
      </w:pPr>
    </w:p>
    <w:p w14:paraId="48C6CC16" w14:textId="77777777" w:rsidR="00744E3A" w:rsidRDefault="00744E3A" w:rsidP="00F316FE">
      <w:pPr>
        <w:rPr>
          <w:rFonts w:ascii="72 Brand" w:hAnsi="72 Brand"/>
          <w:lang w:val="es-ES"/>
        </w:rPr>
      </w:pPr>
    </w:p>
    <w:p w14:paraId="031A6C31" w14:textId="3EF49A0D" w:rsidR="00F316FE" w:rsidRPr="00F316FE" w:rsidRDefault="00F316FE" w:rsidP="00F316FE">
      <w:pPr>
        <w:rPr>
          <w:rFonts w:ascii="72 Brand" w:hAnsi="72 Brand"/>
          <w:lang w:val="es-ES"/>
        </w:rPr>
      </w:pPr>
      <w:r w:rsidRPr="00F316FE">
        <w:rPr>
          <w:rFonts w:ascii="72 Brand" w:hAnsi="72 Brand"/>
          <w:lang w:val="es-ES"/>
        </w:rPr>
        <w:t>Gracias a SAP Concur, hoy Telefónica cuenta con información en tiempo real sobre los patrones de gasto, lo que permite tomar decisiones basadas en datos y negociar de forma más estratégica con los proveedores. Además, la interoperabilidad con otros sistemas de recursos humanos y financieros ha eliminado silos de información, facilitando una gestión más coherente y transparente en toda la organización.</w:t>
      </w:r>
    </w:p>
    <w:p w14:paraId="27B547BA" w14:textId="77777777" w:rsidR="00F316FE" w:rsidRPr="00F316FE" w:rsidRDefault="00F316FE" w:rsidP="00F316FE">
      <w:pPr>
        <w:rPr>
          <w:rFonts w:ascii="72 Brand" w:hAnsi="72 Brand"/>
          <w:lang w:val="es-ES"/>
        </w:rPr>
      </w:pPr>
    </w:p>
    <w:p w14:paraId="708D7FB0" w14:textId="77777777" w:rsidR="00F316FE" w:rsidRPr="00F316FE" w:rsidRDefault="00F316FE" w:rsidP="00F316FE">
      <w:pPr>
        <w:rPr>
          <w:rFonts w:ascii="72 Brand" w:hAnsi="72 Brand"/>
          <w:lang w:val="es-ES"/>
        </w:rPr>
      </w:pPr>
      <w:r w:rsidRPr="00F316FE">
        <w:rPr>
          <w:rFonts w:ascii="72 Brand" w:hAnsi="72 Brand"/>
          <w:lang w:val="es-ES"/>
        </w:rPr>
        <w:t>Pero si hay algo que ha marcado este proceso ha sido el enfoque en la gestión del cambio. Telefónica entendió desde el principio que, para que la transformación fuera exitosa, debía implicar a los empleados, escuchar sus necesidades y adaptar las soluciones a su día a día. Ese compromiso ha sido clave para lograr una adopción sólida y sostenida.</w:t>
      </w:r>
    </w:p>
    <w:p w14:paraId="7F6880F7" w14:textId="77777777" w:rsidR="00F316FE" w:rsidRPr="00F316FE" w:rsidRDefault="00F316FE" w:rsidP="00F316FE">
      <w:pPr>
        <w:rPr>
          <w:rFonts w:ascii="72 Brand" w:hAnsi="72 Brand"/>
          <w:lang w:val="es-ES"/>
        </w:rPr>
      </w:pPr>
    </w:p>
    <w:p w14:paraId="37E77D26" w14:textId="672871A6" w:rsidR="00F55914" w:rsidRDefault="00F316FE" w:rsidP="00F316FE">
      <w:pPr>
        <w:rPr>
          <w:rFonts w:ascii="72 Brand" w:hAnsi="72 Brand"/>
          <w:lang w:val="es-ES"/>
        </w:rPr>
      </w:pPr>
      <w:r w:rsidRPr="00F316FE">
        <w:rPr>
          <w:rFonts w:ascii="72 Brand" w:hAnsi="72 Brand"/>
          <w:lang w:val="es-ES"/>
        </w:rPr>
        <w:t>Hoy, la compañía no solo ha conseguido un control más riguroso de sus costes de viaje, sino que ha transformado esta área en un proceso inteligente, automatizado y alineado con su cultura digital. Un cambio que ha traído eficiencia, pero también una mejora tangible en la experiencia de sus equipos en todo el mundo.</w:t>
      </w:r>
    </w:p>
    <w:p w14:paraId="66B3BBDC" w14:textId="77777777" w:rsidR="00EB5339" w:rsidRDefault="00EB5339" w:rsidP="00F316FE">
      <w:pPr>
        <w:rPr>
          <w:rFonts w:ascii="72 Brand" w:hAnsi="72 Brand"/>
          <w:lang w:val="es-ES"/>
        </w:rPr>
      </w:pPr>
    </w:p>
    <w:p w14:paraId="23ADEBBC" w14:textId="4A7B763F" w:rsidR="00EB5339" w:rsidRDefault="00744E3A" w:rsidP="00F55914">
      <w:pPr>
        <w:rPr>
          <w:rFonts w:ascii="72 Brand" w:hAnsi="72 Brand"/>
          <w:b/>
          <w:bCs/>
          <w:color w:val="4C94D8" w:themeColor="text2" w:themeTint="80"/>
          <w:lang w:val="es-ES"/>
        </w:rPr>
      </w:pPr>
      <w:r w:rsidRPr="00744E3A">
        <w:rPr>
          <w:rFonts w:ascii="72 Brand" w:hAnsi="72 Brand"/>
          <w:b/>
          <w:bCs/>
          <w:color w:val="4C94D8" w:themeColor="text2" w:themeTint="80"/>
          <w:lang w:val="es-ES"/>
        </w:rPr>
        <w:t>El futuro de la gestión de viajes corporativos: una plataforma para la agilidad y el control</w:t>
      </w:r>
    </w:p>
    <w:p w14:paraId="24392818" w14:textId="723C5BB5" w:rsidR="00744E3A" w:rsidRPr="0079078C" w:rsidRDefault="355E4385" w:rsidP="6EFFE863">
      <w:pPr>
        <w:rPr>
          <w:rFonts w:ascii="72 Brand" w:hAnsi="72 Brand"/>
          <w:lang w:val="es-ES"/>
        </w:rPr>
      </w:pPr>
      <w:r w:rsidRPr="6EFFE863">
        <w:rPr>
          <w:rFonts w:ascii="72 Brand" w:hAnsi="72 Brand"/>
          <w:lang w:val="es-ES"/>
        </w:rPr>
        <w:t>Telefónica buscaba migrar a una plataforma de gestión de viajes corporativos más actualizada que integrara las últimas tecnologías para hacer la gestión más eficiente, inteligente, sostenible y rentable. La compañía necesitaba una solución que fuera mucho más que un simple sistema de reservas y gastos: una plataforma capaz de incorporar inteligencia artificial para automatizar procesos, anticipar necesidades, detectar posibles fraudes o desviaciones de política, y así reducir errores humanos y cost</w:t>
      </w:r>
      <w:r w:rsidR="00CB1553">
        <w:rPr>
          <w:rFonts w:ascii="72 Brand" w:hAnsi="72 Brand"/>
          <w:lang w:val="es-ES"/>
        </w:rPr>
        <w:t>e</w:t>
      </w:r>
      <w:r w:rsidRPr="6EFFE863">
        <w:rPr>
          <w:rFonts w:ascii="72 Brand" w:hAnsi="72 Brand"/>
          <w:lang w:val="es-ES"/>
        </w:rPr>
        <w:t xml:space="preserve">s innecesarios. Además, Telefónica tenía claro que la sostenibilidad debía ser un pilar fundamental, por lo que la nueva plataforma debía facilitar la medición y reducción de la huella de carbono asociada a los viajes corporativos, promoviendo opciones más responsables y alineadas con los compromisos ambientales de la empresa. </w:t>
      </w:r>
    </w:p>
    <w:p w14:paraId="1DF78CA8" w14:textId="21FD0371" w:rsidR="00744E3A" w:rsidRPr="0079078C" w:rsidRDefault="355E4385" w:rsidP="00F55914">
      <w:pPr>
        <w:rPr>
          <w:rFonts w:ascii="72 Brand" w:hAnsi="72 Brand"/>
          <w:lang w:val="es-ES"/>
        </w:rPr>
      </w:pPr>
      <w:r w:rsidRPr="6EFFE863">
        <w:rPr>
          <w:rFonts w:ascii="72 Brand" w:hAnsi="72 Brand"/>
          <w:lang w:val="es-ES"/>
        </w:rPr>
        <w:t xml:space="preserve">En términos de ahorro, la plataforma debía ofrecer la integración del estándar NDC (New </w:t>
      </w:r>
      <w:proofErr w:type="spellStart"/>
      <w:r w:rsidRPr="6EFFE863">
        <w:rPr>
          <w:rFonts w:ascii="72 Brand" w:hAnsi="72 Brand"/>
          <w:lang w:val="es-ES"/>
        </w:rPr>
        <w:t>Distribution</w:t>
      </w:r>
      <w:proofErr w:type="spellEnd"/>
      <w:r w:rsidRPr="6EFFE863">
        <w:rPr>
          <w:rFonts w:ascii="72 Brand" w:hAnsi="72 Brand"/>
          <w:lang w:val="es-ES"/>
        </w:rPr>
        <w:t xml:space="preserve"> </w:t>
      </w:r>
      <w:proofErr w:type="spellStart"/>
      <w:r w:rsidRPr="6EFFE863">
        <w:rPr>
          <w:rFonts w:ascii="72 Brand" w:hAnsi="72 Brand"/>
          <w:lang w:val="es-ES"/>
        </w:rPr>
        <w:t>Capability</w:t>
      </w:r>
      <w:proofErr w:type="spellEnd"/>
      <w:r w:rsidRPr="6EFFE863">
        <w:rPr>
          <w:rFonts w:ascii="72 Brand" w:hAnsi="72 Brand"/>
          <w:lang w:val="es-ES"/>
        </w:rPr>
        <w:t xml:space="preserve">), que permite la conexión directa con aerolíneas como Iberia, facilitando el acceso a contenido aéreo más competitivo y personalizado. Esta conexión directa no solo mejora la calidad y flexibilidad de las opciones de viaje para los empleados, sino que también posibilita la negociación de tarifas más ventajosas, generando un ahorro promedio significativo por billete y un impacto económico </w:t>
      </w:r>
      <w:r w:rsidRPr="6EFFE863">
        <w:rPr>
          <w:rFonts w:ascii="72 Brand" w:hAnsi="72 Brand"/>
          <w:lang w:val="es-ES"/>
        </w:rPr>
        <w:lastRenderedPageBreak/>
        <w:t>relevante para Telefónica. En definitiva, la compañía apostó por una solución tecnológica que combinara innovación, sostenibilidad, ahorro y una mejora palpable en la experiencia del usuario, garantizando un control riguroso y estratégico del gasto.</w:t>
      </w:r>
    </w:p>
    <w:p w14:paraId="4866D65C" w14:textId="77777777" w:rsidR="009A3047" w:rsidRDefault="009A3047" w:rsidP="00F55914">
      <w:pPr>
        <w:rPr>
          <w:rFonts w:ascii="72 Brand" w:hAnsi="72 Brand"/>
          <w:lang w:val="es-ES"/>
        </w:rPr>
      </w:pPr>
    </w:p>
    <w:p w14:paraId="081621BA" w14:textId="77777777" w:rsidR="009A3047" w:rsidRPr="009A3047" w:rsidRDefault="009A3047" w:rsidP="009A3047">
      <w:pPr>
        <w:rPr>
          <w:rFonts w:ascii="72 Brand" w:hAnsi="72 Brand"/>
          <w:lang w:val="es-ES"/>
        </w:rPr>
      </w:pPr>
      <w:r w:rsidRPr="009A3047">
        <w:rPr>
          <w:rFonts w:ascii="72 Brand" w:hAnsi="72 Brand"/>
          <w:lang w:val="es-ES"/>
        </w:rPr>
        <w:t xml:space="preserve">El despliegue del proyecto se ha llevado a cabo con una rapidez y alcance poco habituales en iniciativas de esta naturaleza. Aunque inicialmente se estimaron cuatro meses, en menos de dos meses se completaron la configuración y la puesta en marcha: a mediados de agosto ya estaba prácticamente todo terminado, y las pruebas finales se superaron con éxito. </w:t>
      </w:r>
      <w:r w:rsidRPr="009A3047">
        <w:rPr>
          <w:rFonts w:ascii="72 Brand" w:hAnsi="72 Brand"/>
          <w:b/>
          <w:bCs/>
          <w:lang w:val="es-ES"/>
        </w:rPr>
        <w:t>En apenas un mes y tres semanas</w:t>
      </w:r>
      <w:r w:rsidRPr="009A3047">
        <w:rPr>
          <w:rFonts w:ascii="72 Brand" w:hAnsi="72 Brand"/>
          <w:lang w:val="es-ES"/>
        </w:rPr>
        <w:t xml:space="preserve"> se integraron, de forma simultánea, más de 15 entidades jurídicas en España, pertenecientes a grupos muy diversos y con una gran complejidad operativa.</w:t>
      </w:r>
    </w:p>
    <w:p w14:paraId="54188FF8" w14:textId="63FA7F1E" w:rsidR="009A3047" w:rsidRPr="009A3047" w:rsidRDefault="009A3047" w:rsidP="009A3047">
      <w:pPr>
        <w:rPr>
          <w:rFonts w:ascii="72 Brand" w:hAnsi="72 Brand"/>
          <w:lang w:val="es-ES"/>
        </w:rPr>
      </w:pPr>
      <w:r w:rsidRPr="009A3047">
        <w:rPr>
          <w:rFonts w:ascii="72 Brand" w:hAnsi="72 Brand"/>
          <w:lang w:val="es-ES"/>
        </w:rPr>
        <w:t>El proyecto comenzó con la implementación en España y Alemania, y desde la firma de la expansión el pasado 8 de agosto, se han incorporado nuevas jurisdicciones al alcance del proyecto. Esto incluye todas las entidades legales en España que anteriormente operaban con otra OBT, así como nuevas integraciones en Estados Unidos y varios países de Latinoamérica.</w:t>
      </w:r>
    </w:p>
    <w:p w14:paraId="5969B9B7" w14:textId="77777777" w:rsidR="009A3047" w:rsidRPr="00F55914" w:rsidRDefault="009A3047" w:rsidP="00F55914">
      <w:pPr>
        <w:rPr>
          <w:rFonts w:ascii="72 Brand" w:hAnsi="72 Brand"/>
          <w:lang w:val="es-ES"/>
        </w:rPr>
      </w:pPr>
    </w:p>
    <w:p w14:paraId="56DD346F" w14:textId="77777777" w:rsidR="00F55914" w:rsidRPr="00F55914" w:rsidRDefault="00F55914" w:rsidP="00F55914">
      <w:pPr>
        <w:rPr>
          <w:rFonts w:ascii="72 Brand" w:hAnsi="72 Brand"/>
          <w:lang w:val="es-ES"/>
        </w:rPr>
      </w:pPr>
      <w:r w:rsidRPr="00F55914">
        <w:rPr>
          <w:rFonts w:ascii="72 Brand" w:hAnsi="72 Brand"/>
          <w:lang w:val="es-ES"/>
        </w:rPr>
        <w:t xml:space="preserve">Un elemento especialmente innovador del proyecto es la integración del estándar NDC (New </w:t>
      </w:r>
      <w:proofErr w:type="spellStart"/>
      <w:r w:rsidRPr="00F55914">
        <w:rPr>
          <w:rFonts w:ascii="72 Brand" w:hAnsi="72 Brand"/>
          <w:lang w:val="es-ES"/>
        </w:rPr>
        <w:t>Distribution</w:t>
      </w:r>
      <w:proofErr w:type="spellEnd"/>
      <w:r w:rsidRPr="00F55914">
        <w:rPr>
          <w:rFonts w:ascii="72 Brand" w:hAnsi="72 Brand"/>
          <w:lang w:val="es-ES"/>
        </w:rPr>
        <w:t xml:space="preserve"> </w:t>
      </w:r>
      <w:proofErr w:type="spellStart"/>
      <w:r w:rsidRPr="00F55914">
        <w:rPr>
          <w:rFonts w:ascii="72 Brand" w:hAnsi="72 Brand"/>
          <w:lang w:val="es-ES"/>
        </w:rPr>
        <w:t>Capability</w:t>
      </w:r>
      <w:proofErr w:type="spellEnd"/>
      <w:r w:rsidRPr="00F55914">
        <w:rPr>
          <w:rFonts w:ascii="72 Brand" w:hAnsi="72 Brand"/>
          <w:lang w:val="es-ES"/>
        </w:rPr>
        <w:t xml:space="preserve">) en la plataforma. Esta tecnología permite a Telefónica conectarse directamente con aerolíneas como Iberia, facilitando el acceso a contenido aéreo más completo y competitivo. Gracias a esta conexión directa, la compañía puede negociar tarifas más ventajosas y personalizadas, lo que se traduce en ahorros significativos en el coste por billete. De hecho, el ahorro promedio estimado por billete puede situarse en torno a los 10 euros, lo que, multiplicado por el volumen total de viajes, representa </w:t>
      </w:r>
      <w:r w:rsidRPr="00F55914">
        <w:rPr>
          <w:rFonts w:ascii="72 Brand" w:hAnsi="72 Brand"/>
          <w:b/>
          <w:bCs/>
          <w:lang w:val="es-ES"/>
        </w:rPr>
        <w:t>un impacto económico relevante para Telefónica</w:t>
      </w:r>
      <w:r w:rsidRPr="00F55914">
        <w:rPr>
          <w:rFonts w:ascii="72 Brand" w:hAnsi="72 Brand"/>
          <w:lang w:val="es-ES"/>
        </w:rPr>
        <w:t>. La adopción de NDC no solo optimiza los costes, sino que también mejora la calidad y flexibilidad de las opciones de viaje para los empleados, adaptándose a sus necesidades específicas sin comprometer el control presupuestario.</w:t>
      </w:r>
    </w:p>
    <w:p w14:paraId="7F317930" w14:textId="1E6C7719" w:rsidR="00F55914" w:rsidRPr="00F55914" w:rsidRDefault="00F55914" w:rsidP="00F55914">
      <w:pPr>
        <w:rPr>
          <w:rFonts w:ascii="72 Brand" w:hAnsi="72 Brand"/>
          <w:lang w:val="es-ES"/>
        </w:rPr>
      </w:pPr>
      <w:r w:rsidRPr="00F55914">
        <w:rPr>
          <w:rFonts w:ascii="72 Brand" w:hAnsi="72 Brand"/>
          <w:lang w:val="es-ES"/>
        </w:rPr>
        <w:t xml:space="preserve">La innovación </w:t>
      </w:r>
      <w:r w:rsidRPr="00EA1687">
        <w:rPr>
          <w:rFonts w:ascii="72 Brand" w:hAnsi="72 Brand"/>
          <w:lang w:val="es-ES"/>
        </w:rPr>
        <w:t xml:space="preserve">en </w:t>
      </w:r>
      <w:r w:rsidR="0079078C" w:rsidRPr="00EA1687">
        <w:rPr>
          <w:rFonts w:ascii="72 Brand" w:hAnsi="72 Brand"/>
          <w:lang w:val="es-ES"/>
        </w:rPr>
        <w:t>C</w:t>
      </w:r>
      <w:r w:rsidRPr="00EA1687">
        <w:rPr>
          <w:rFonts w:ascii="72 Brand" w:hAnsi="72 Brand"/>
          <w:lang w:val="es-ES"/>
        </w:rPr>
        <w:t>oncur Travel</w:t>
      </w:r>
      <w:r w:rsidRPr="00F55914">
        <w:rPr>
          <w:rFonts w:ascii="72 Brand" w:hAnsi="72 Brand"/>
          <w:lang w:val="es-ES"/>
        </w:rPr>
        <w:t xml:space="preserve"> radica no solo en la tecnología, sino también en el modelo de implantación y colaboración. Telefónica ha adoptado un enfoque transversal que integra a todas las áreas involucradas —Recursos Humanos, Dirección, Legal, IT y el equipo de Travel— facilitando la comunicación y la alineación estratégica. Esta coordinación ha sido clave para superar los desafíos inherentes a un proyecto global, desde la adaptación a normativas locales hasta la gestión del cambio cultural interno.</w:t>
      </w:r>
    </w:p>
    <w:p w14:paraId="280311BD" w14:textId="77777777" w:rsidR="00F55914" w:rsidRPr="00F55914" w:rsidRDefault="00F55914" w:rsidP="00F55914">
      <w:pPr>
        <w:rPr>
          <w:rFonts w:ascii="72 Brand" w:hAnsi="72 Brand"/>
          <w:lang w:val="es-ES"/>
        </w:rPr>
      </w:pPr>
      <w:r w:rsidRPr="00F55914">
        <w:rPr>
          <w:rFonts w:ascii="72 Brand" w:hAnsi="72 Brand"/>
          <w:lang w:val="es-ES"/>
        </w:rPr>
        <w:t xml:space="preserve">Gracias a la automatización y digitalización de procesos, la plataforma permite a Telefónica optimizar la gestión de gastos y viajes, reduciendo la carga administrativa, aumentando la transparencia y mejorando la experiencia del usuario. Los empleados </w:t>
      </w:r>
      <w:r w:rsidRPr="00F55914">
        <w:rPr>
          <w:rFonts w:ascii="72 Brand" w:hAnsi="72 Brand"/>
          <w:lang w:val="es-ES"/>
        </w:rPr>
        <w:lastRenderedPageBreak/>
        <w:t>ahora disponen de una herramienta intuitiva y unificada que facilita la planificación, reserva y justificación de sus desplazamientos, mientras que la empresa obtiene un mayor control y visibilidad sobre el gasto corporativo.</w:t>
      </w:r>
    </w:p>
    <w:p w14:paraId="18CC3756" w14:textId="77777777" w:rsidR="00F55914" w:rsidRPr="003D040B" w:rsidRDefault="00F55914" w:rsidP="00F55914">
      <w:pPr>
        <w:rPr>
          <w:rFonts w:ascii="72 Brand" w:hAnsi="72 Brand"/>
          <w:lang w:val="es-ES"/>
        </w:rPr>
      </w:pPr>
      <w:r w:rsidRPr="00F55914">
        <w:rPr>
          <w:rFonts w:ascii="72 Brand" w:hAnsi="72 Brand"/>
          <w:lang w:val="es-ES"/>
        </w:rPr>
        <w:t xml:space="preserve">Este proyecto es, a día de hoy, </w:t>
      </w:r>
      <w:r w:rsidRPr="00F55914">
        <w:rPr>
          <w:rFonts w:ascii="72 Brand" w:hAnsi="72 Brand"/>
          <w:b/>
          <w:bCs/>
          <w:lang w:val="es-ES"/>
        </w:rPr>
        <w:t>uno de los despliegues más rápidos y ambiciosos realizados desde España en el sector de gestión de viajes corporativos</w:t>
      </w:r>
      <w:r w:rsidRPr="00F55914">
        <w:rPr>
          <w:rFonts w:ascii="72 Brand" w:hAnsi="72 Brand"/>
          <w:lang w:val="es-ES"/>
        </w:rPr>
        <w:t xml:space="preserve">. Telefónica ha demostrado que la digitalización puede ser un motor de eficiencia y competitividad, ejecutando una </w:t>
      </w:r>
      <w:r w:rsidRPr="003D040B">
        <w:rPr>
          <w:rFonts w:ascii="72 Brand" w:hAnsi="72 Brand"/>
          <w:b/>
          <w:bCs/>
          <w:lang w:val="es-ES"/>
        </w:rPr>
        <w:t xml:space="preserve">transformación </w:t>
      </w:r>
      <w:r w:rsidRPr="003D040B">
        <w:rPr>
          <w:rFonts w:ascii="72 Brand" w:hAnsi="72 Brand"/>
          <w:lang w:val="es-ES"/>
        </w:rPr>
        <w:t>global en un plazo que muchas organizaciones consideran imposible.</w:t>
      </w:r>
    </w:p>
    <w:p w14:paraId="6D739024" w14:textId="4221C6F5" w:rsidR="00F55914" w:rsidRDefault="00F55914" w:rsidP="00F55914">
      <w:pPr>
        <w:rPr>
          <w:rFonts w:ascii="72 Brand" w:hAnsi="72 Brand"/>
          <w:lang w:val="es-ES"/>
        </w:rPr>
      </w:pPr>
      <w:r w:rsidRPr="00F55914">
        <w:rPr>
          <w:rFonts w:ascii="72 Brand" w:hAnsi="72 Brand"/>
          <w:lang w:val="es-ES"/>
        </w:rPr>
        <w:t>El impacto humano y cultural también ha sido significativo. Más allá de la implementación técnica, Concur Travel ha supuesto un cambio en la forma de trabajar, promoviendo la colaboración, la transparencia y la sostenibilidad. Telefónica ha situado al empleado en el centro de esta transformación, apostando por ofrecer una experiencia de usuario óptima y facilitando la adaptación a nuevos procesos de trabajo.</w:t>
      </w:r>
    </w:p>
    <w:p w14:paraId="6F579E15" w14:textId="77777777" w:rsidR="0079078C" w:rsidRPr="00F55914" w:rsidRDefault="0079078C" w:rsidP="00F55914">
      <w:pPr>
        <w:rPr>
          <w:rFonts w:ascii="72 Brand" w:hAnsi="72 Brand"/>
          <w:lang w:val="es-ES"/>
        </w:rPr>
      </w:pPr>
    </w:p>
    <w:p w14:paraId="5F973266" w14:textId="7D06887A" w:rsidR="00DB1E75" w:rsidRDefault="00851EAC" w:rsidP="00DB1E75">
      <w:pPr>
        <w:rPr>
          <w:rFonts w:ascii="72 Brand" w:hAnsi="72 Brand"/>
          <w:b/>
          <w:bCs/>
          <w:color w:val="4C94D8" w:themeColor="text2" w:themeTint="80"/>
          <w:lang w:val="es-ES"/>
        </w:rPr>
      </w:pPr>
      <w:r>
        <w:rPr>
          <w:rFonts w:ascii="72 Brand" w:hAnsi="72 Brand"/>
          <w:b/>
          <w:bCs/>
          <w:color w:val="4C94D8" w:themeColor="text2" w:themeTint="80"/>
          <w:lang w:val="es-ES"/>
        </w:rPr>
        <w:t>Candidatura</w:t>
      </w:r>
      <w:r w:rsidR="00DB1E75" w:rsidRPr="00DB1E75">
        <w:rPr>
          <w:rFonts w:ascii="72 Brand" w:hAnsi="72 Brand"/>
          <w:b/>
          <w:bCs/>
          <w:color w:val="4C94D8" w:themeColor="text2" w:themeTint="80"/>
          <w:lang w:val="es-ES"/>
        </w:rPr>
        <w:t xml:space="preserve"> a los Premios Business Travel &amp; MICE de IBTA</w:t>
      </w:r>
    </w:p>
    <w:p w14:paraId="4B96E7AB" w14:textId="77777777" w:rsidR="00EB5339" w:rsidRPr="00DB1E75" w:rsidRDefault="00EB5339" w:rsidP="00DB1E75">
      <w:pPr>
        <w:rPr>
          <w:rFonts w:ascii="72 Brand" w:hAnsi="72 Brand"/>
          <w:b/>
          <w:bCs/>
          <w:color w:val="4C94D8" w:themeColor="text2" w:themeTint="80"/>
          <w:lang w:val="es-ES"/>
        </w:rPr>
      </w:pPr>
    </w:p>
    <w:p w14:paraId="46756C37" w14:textId="77777777" w:rsidR="00DB1E75" w:rsidRPr="00DB1E75" w:rsidRDefault="00DB1E75" w:rsidP="00DB1E75">
      <w:pPr>
        <w:rPr>
          <w:rFonts w:ascii="72 Brand" w:hAnsi="72 Brand"/>
          <w:lang w:val="es-ES"/>
        </w:rPr>
      </w:pPr>
      <w:r w:rsidRPr="00DB1E75">
        <w:rPr>
          <w:rFonts w:ascii="72 Brand" w:hAnsi="72 Brand"/>
          <w:lang w:val="es-ES"/>
        </w:rPr>
        <w:t xml:space="preserve">SAP Concur se enorgullece de presentar esta candidatura a los Premios Business Travel &amp; MICE de IBTA, en la </w:t>
      </w:r>
      <w:r w:rsidRPr="00056600">
        <w:rPr>
          <w:rFonts w:ascii="72 Brand" w:hAnsi="72 Brand"/>
          <w:b/>
          <w:bCs/>
          <w:lang w:val="es-ES"/>
        </w:rPr>
        <w:t>categoría de Innovación</w:t>
      </w:r>
      <w:r w:rsidRPr="00DB1E75">
        <w:rPr>
          <w:rFonts w:ascii="72 Brand" w:hAnsi="72 Brand"/>
          <w:lang w:val="es-ES"/>
        </w:rPr>
        <w:t>, reconociendo la visión y liderazgo de Telefónica en un ámbito crítico para la gestión corporativa moderna. Este proyecto ejemplifica cómo la tecnología puede ser un aliado estratégico para impulsar el cambio y la mejora continua en empresas globales.</w:t>
      </w:r>
    </w:p>
    <w:p w14:paraId="21C548CF" w14:textId="42FABAA8" w:rsidR="00DB1E75" w:rsidRPr="00DB1E75" w:rsidRDefault="00DB1E75" w:rsidP="00DB1E75">
      <w:pPr>
        <w:rPr>
          <w:rFonts w:ascii="72 Brand" w:hAnsi="72 Brand"/>
          <w:lang w:val="es-ES"/>
        </w:rPr>
      </w:pPr>
      <w:r w:rsidRPr="00DB1E75">
        <w:rPr>
          <w:rFonts w:ascii="72 Brand" w:hAnsi="72 Brand"/>
          <w:lang w:val="es-ES"/>
        </w:rPr>
        <w:t>Más allá del reconocimiento, el valor de esta iniciativa reside en su capacidad para servir de ejemplo e inspiración a otras organizaciones que enfrentan retos similares. La combinación de innovación tecnológica, gestión colaborativa y enfoque estratégico convierte a</w:t>
      </w:r>
      <w:r w:rsidR="00474466">
        <w:rPr>
          <w:rFonts w:ascii="72 Brand" w:hAnsi="72 Brand"/>
          <w:lang w:val="es-ES"/>
        </w:rPr>
        <w:t xml:space="preserve"> </w:t>
      </w:r>
      <w:r w:rsidRPr="00DB1E75">
        <w:rPr>
          <w:rFonts w:ascii="72 Brand" w:hAnsi="72 Brand"/>
          <w:lang w:val="es-ES"/>
        </w:rPr>
        <w:t>Concur Travel en un caso de éxito replicable y referente en la industria.</w:t>
      </w:r>
    </w:p>
    <w:p w14:paraId="2886E3F9" w14:textId="77777777" w:rsidR="00DB1E75" w:rsidRPr="00DB1E75" w:rsidRDefault="74B05235" w:rsidP="00DB1E75">
      <w:pPr>
        <w:rPr>
          <w:rFonts w:ascii="72 Brand" w:hAnsi="72 Brand"/>
          <w:b/>
          <w:bCs/>
          <w:lang w:val="es-ES"/>
        </w:rPr>
      </w:pPr>
      <w:r w:rsidRPr="6EFFE863">
        <w:rPr>
          <w:rFonts w:ascii="72 Brand" w:hAnsi="72 Brand"/>
          <w:lang w:val="es-ES"/>
        </w:rPr>
        <w:t xml:space="preserve">En definitiva, Telefónica ha demostrado que la innovación no es un concepto abstracto, sino una práctica concreta que implica anticipar necesidades, gestionar la complejidad y ejecutar con determinación. Este proyecto no solo ha transformado la gestión de viajes corporativos, sino que </w:t>
      </w:r>
      <w:r w:rsidRPr="6EFFE863">
        <w:rPr>
          <w:rFonts w:ascii="72 Brand" w:hAnsi="72 Brand"/>
          <w:b/>
          <w:bCs/>
          <w:lang w:val="es-ES"/>
        </w:rPr>
        <w:t>ha reforzado la posición de Telefónica como líder en innovación, eficiencia y compromiso con la excelencia.</w:t>
      </w:r>
    </w:p>
    <w:p w14:paraId="02C96F42" w14:textId="77777777" w:rsidR="00DB1E75" w:rsidRPr="0042512A" w:rsidRDefault="00DB1E75" w:rsidP="0042512A">
      <w:pPr>
        <w:rPr>
          <w:rFonts w:ascii="72 Brand" w:hAnsi="72 Brand"/>
          <w:lang w:val="es-ES"/>
        </w:rPr>
      </w:pPr>
    </w:p>
    <w:p w14:paraId="7329D09D" w14:textId="424DCB44" w:rsidR="00C652B2" w:rsidRDefault="00C652B2" w:rsidP="0042512A">
      <w:pPr>
        <w:rPr>
          <w:rFonts w:ascii="72 Brand" w:hAnsi="72 Brand"/>
          <w:lang w:val="es-ES"/>
        </w:rPr>
      </w:pPr>
    </w:p>
    <w:p w14:paraId="533317BF" w14:textId="77777777" w:rsidR="0042512A" w:rsidRPr="00C652B2" w:rsidRDefault="0042512A" w:rsidP="0042512A">
      <w:pPr>
        <w:rPr>
          <w:rFonts w:ascii="72 Brand" w:hAnsi="72 Brand"/>
          <w:lang w:val="es-ES"/>
        </w:rPr>
      </w:pPr>
    </w:p>
    <w:sectPr w:rsidR="0042512A" w:rsidRPr="00C652B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22A88" w14:textId="77777777" w:rsidR="007C3ABE" w:rsidRDefault="007C3ABE" w:rsidP="00EB5339">
      <w:pPr>
        <w:spacing w:after="0" w:line="240" w:lineRule="auto"/>
      </w:pPr>
      <w:r>
        <w:separator/>
      </w:r>
    </w:p>
  </w:endnote>
  <w:endnote w:type="continuationSeparator" w:id="0">
    <w:p w14:paraId="58ADD500" w14:textId="77777777" w:rsidR="007C3ABE" w:rsidRDefault="007C3ABE" w:rsidP="00EB5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72 Brand">
    <w:panose1 w:val="020B0504030603020204"/>
    <w:charset w:val="00"/>
    <w:family w:val="swiss"/>
    <w:pitch w:val="variable"/>
    <w:sig w:usb0="A00002FF" w:usb1="5000A0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80DB" w14:textId="77777777" w:rsidR="00EB5339" w:rsidRDefault="00EB5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7FAD" w14:textId="77777777" w:rsidR="00EB5339" w:rsidRDefault="00EB53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C04BE" w14:textId="77777777" w:rsidR="00EB5339" w:rsidRDefault="00EB5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D3287" w14:textId="77777777" w:rsidR="007C3ABE" w:rsidRDefault="007C3ABE" w:rsidP="00EB5339">
      <w:pPr>
        <w:spacing w:after="0" w:line="240" w:lineRule="auto"/>
      </w:pPr>
      <w:r>
        <w:separator/>
      </w:r>
    </w:p>
  </w:footnote>
  <w:footnote w:type="continuationSeparator" w:id="0">
    <w:p w14:paraId="05B9B448" w14:textId="77777777" w:rsidR="007C3ABE" w:rsidRDefault="007C3ABE" w:rsidP="00EB5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268A" w14:textId="77777777" w:rsidR="00EB5339" w:rsidRDefault="00EB5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6385" w14:textId="38BABC46" w:rsidR="00EB5339" w:rsidRDefault="00E6786A" w:rsidP="008A2994">
    <w:pPr>
      <w:pStyle w:val="Header"/>
    </w:pPr>
    <w:r w:rsidRPr="008A2994">
      <w:rPr>
        <w:noProof/>
      </w:rPr>
      <w:drawing>
        <wp:anchor distT="0" distB="0" distL="114300" distR="114300" simplePos="0" relativeHeight="251658240" behindDoc="0" locked="0" layoutInCell="1" allowOverlap="1" wp14:anchorId="1EB21440" wp14:editId="6ED59F85">
          <wp:simplePos x="0" y="0"/>
          <wp:positionH relativeFrom="rightMargin">
            <wp:align>left</wp:align>
          </wp:positionH>
          <wp:positionV relativeFrom="paragraph">
            <wp:posOffset>-210820</wp:posOffset>
          </wp:positionV>
          <wp:extent cx="679450" cy="509905"/>
          <wp:effectExtent l="0" t="0" r="6350" b="4445"/>
          <wp:wrapNone/>
          <wp:docPr id="928330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30053" name="Picture 928330053"/>
                  <pic:cNvPicPr/>
                </pic:nvPicPr>
                <pic:blipFill>
                  <a:blip r:embed="rId1">
                    <a:extLst>
                      <a:ext uri="{28A0092B-C50C-407E-A947-70E740481C1C}">
                        <a14:useLocalDpi xmlns:a14="http://schemas.microsoft.com/office/drawing/2010/main" val="0"/>
                      </a:ext>
                    </a:extLst>
                  </a:blip>
                  <a:stretch>
                    <a:fillRect/>
                  </a:stretch>
                </pic:blipFill>
                <pic:spPr>
                  <a:xfrm>
                    <a:off x="0" y="0"/>
                    <a:ext cx="679450" cy="50990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0CB9385" wp14:editId="3115ECB5">
          <wp:extent cx="1143000" cy="230254"/>
          <wp:effectExtent l="0" t="0" r="0" b="0"/>
          <wp:docPr id="1089125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25896" name="Picture 1089125896"/>
                  <pic:cNvPicPr/>
                </pic:nvPicPr>
                <pic:blipFill>
                  <a:blip r:embed="rId2">
                    <a:extLst>
                      <a:ext uri="{28A0092B-C50C-407E-A947-70E740481C1C}">
                        <a14:useLocalDpi xmlns:a14="http://schemas.microsoft.com/office/drawing/2010/main" val="0"/>
                      </a:ext>
                    </a:extLst>
                  </a:blip>
                  <a:stretch>
                    <a:fillRect/>
                  </a:stretch>
                </pic:blipFill>
                <pic:spPr>
                  <a:xfrm>
                    <a:off x="0" y="0"/>
                    <a:ext cx="1194822" cy="24069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5B44" w14:textId="77777777" w:rsidR="00EB5339" w:rsidRDefault="00EB53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B2"/>
    <w:rsid w:val="00056600"/>
    <w:rsid w:val="00186F88"/>
    <w:rsid w:val="00221482"/>
    <w:rsid w:val="00331B24"/>
    <w:rsid w:val="003D040B"/>
    <w:rsid w:val="003E0DA0"/>
    <w:rsid w:val="00404C8A"/>
    <w:rsid w:val="0042512A"/>
    <w:rsid w:val="00474466"/>
    <w:rsid w:val="00502426"/>
    <w:rsid w:val="00517A20"/>
    <w:rsid w:val="00525567"/>
    <w:rsid w:val="005335C9"/>
    <w:rsid w:val="005412B5"/>
    <w:rsid w:val="005830F8"/>
    <w:rsid w:val="00642544"/>
    <w:rsid w:val="006D0430"/>
    <w:rsid w:val="006D38B4"/>
    <w:rsid w:val="00744E3A"/>
    <w:rsid w:val="00753755"/>
    <w:rsid w:val="007667B4"/>
    <w:rsid w:val="007840A9"/>
    <w:rsid w:val="0079078C"/>
    <w:rsid w:val="007C3ABE"/>
    <w:rsid w:val="007D6886"/>
    <w:rsid w:val="00851EAC"/>
    <w:rsid w:val="008A2994"/>
    <w:rsid w:val="008F325C"/>
    <w:rsid w:val="0090549F"/>
    <w:rsid w:val="009A3047"/>
    <w:rsid w:val="009B0F50"/>
    <w:rsid w:val="00AA3995"/>
    <w:rsid w:val="00B13512"/>
    <w:rsid w:val="00C652B2"/>
    <w:rsid w:val="00CB1553"/>
    <w:rsid w:val="00CB2388"/>
    <w:rsid w:val="00D06107"/>
    <w:rsid w:val="00D06BE1"/>
    <w:rsid w:val="00D62C66"/>
    <w:rsid w:val="00DB1E75"/>
    <w:rsid w:val="00DC63E8"/>
    <w:rsid w:val="00E6786A"/>
    <w:rsid w:val="00E76398"/>
    <w:rsid w:val="00EA0A04"/>
    <w:rsid w:val="00EA1687"/>
    <w:rsid w:val="00EB1477"/>
    <w:rsid w:val="00EB5339"/>
    <w:rsid w:val="00F00048"/>
    <w:rsid w:val="00F02CDC"/>
    <w:rsid w:val="00F22CDA"/>
    <w:rsid w:val="00F316FE"/>
    <w:rsid w:val="00F55914"/>
    <w:rsid w:val="00F75822"/>
    <w:rsid w:val="00FA52F9"/>
    <w:rsid w:val="00FD04B7"/>
    <w:rsid w:val="08450446"/>
    <w:rsid w:val="1277698B"/>
    <w:rsid w:val="2F125029"/>
    <w:rsid w:val="32138212"/>
    <w:rsid w:val="355E4385"/>
    <w:rsid w:val="461B36C9"/>
    <w:rsid w:val="55A6C3D8"/>
    <w:rsid w:val="58E11F80"/>
    <w:rsid w:val="5ECC45E1"/>
    <w:rsid w:val="629E6D8B"/>
    <w:rsid w:val="6447492C"/>
    <w:rsid w:val="6B0D5B78"/>
    <w:rsid w:val="6D14D4FD"/>
    <w:rsid w:val="6EFFE863"/>
    <w:rsid w:val="74B05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D629F"/>
  <w15:chartTrackingRefBased/>
  <w15:docId w15:val="{D75AAE95-D8D6-4177-B0A1-D8ADBC4B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5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5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2B2"/>
    <w:rPr>
      <w:rFonts w:eastAsiaTheme="majorEastAsia" w:cstheme="majorBidi"/>
      <w:color w:val="272727" w:themeColor="text1" w:themeTint="D8"/>
    </w:rPr>
  </w:style>
  <w:style w:type="paragraph" w:styleId="Title">
    <w:name w:val="Title"/>
    <w:basedOn w:val="Normal"/>
    <w:next w:val="Normal"/>
    <w:link w:val="TitleChar"/>
    <w:uiPriority w:val="10"/>
    <w:qFormat/>
    <w:rsid w:val="00C65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2B2"/>
    <w:pPr>
      <w:spacing w:before="160"/>
      <w:jc w:val="center"/>
    </w:pPr>
    <w:rPr>
      <w:i/>
      <w:iCs/>
      <w:color w:val="404040" w:themeColor="text1" w:themeTint="BF"/>
    </w:rPr>
  </w:style>
  <w:style w:type="character" w:customStyle="1" w:styleId="QuoteChar">
    <w:name w:val="Quote Char"/>
    <w:basedOn w:val="DefaultParagraphFont"/>
    <w:link w:val="Quote"/>
    <w:uiPriority w:val="29"/>
    <w:rsid w:val="00C652B2"/>
    <w:rPr>
      <w:i/>
      <w:iCs/>
      <w:color w:val="404040" w:themeColor="text1" w:themeTint="BF"/>
    </w:rPr>
  </w:style>
  <w:style w:type="paragraph" w:styleId="ListParagraph">
    <w:name w:val="List Paragraph"/>
    <w:basedOn w:val="Normal"/>
    <w:uiPriority w:val="34"/>
    <w:qFormat/>
    <w:rsid w:val="00C652B2"/>
    <w:pPr>
      <w:ind w:left="720"/>
      <w:contextualSpacing/>
    </w:pPr>
  </w:style>
  <w:style w:type="character" w:styleId="IntenseEmphasis">
    <w:name w:val="Intense Emphasis"/>
    <w:basedOn w:val="DefaultParagraphFont"/>
    <w:uiPriority w:val="21"/>
    <w:qFormat/>
    <w:rsid w:val="00C652B2"/>
    <w:rPr>
      <w:i/>
      <w:iCs/>
      <w:color w:val="0F4761" w:themeColor="accent1" w:themeShade="BF"/>
    </w:rPr>
  </w:style>
  <w:style w:type="paragraph" w:styleId="IntenseQuote">
    <w:name w:val="Intense Quote"/>
    <w:basedOn w:val="Normal"/>
    <w:next w:val="Normal"/>
    <w:link w:val="IntenseQuoteChar"/>
    <w:uiPriority w:val="30"/>
    <w:qFormat/>
    <w:rsid w:val="00C65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2B2"/>
    <w:rPr>
      <w:i/>
      <w:iCs/>
      <w:color w:val="0F4761" w:themeColor="accent1" w:themeShade="BF"/>
    </w:rPr>
  </w:style>
  <w:style w:type="character" w:styleId="IntenseReference">
    <w:name w:val="Intense Reference"/>
    <w:basedOn w:val="DefaultParagraphFont"/>
    <w:uiPriority w:val="32"/>
    <w:qFormat/>
    <w:rsid w:val="00C652B2"/>
    <w:rPr>
      <w:b/>
      <w:bCs/>
      <w:smallCaps/>
      <w:color w:val="0F4761" w:themeColor="accent1" w:themeShade="BF"/>
      <w:spacing w:val="5"/>
    </w:rPr>
  </w:style>
  <w:style w:type="paragraph" w:styleId="NormalWeb">
    <w:name w:val="Normal (Web)"/>
    <w:basedOn w:val="Normal"/>
    <w:uiPriority w:val="99"/>
    <w:semiHidden/>
    <w:unhideWhenUsed/>
    <w:rsid w:val="0042512A"/>
    <w:rPr>
      <w:rFonts w:ascii="Times New Roman" w:hAnsi="Times New Roman" w:cs="Times New Roman"/>
    </w:rPr>
  </w:style>
  <w:style w:type="character" w:styleId="CommentReference">
    <w:name w:val="annotation reference"/>
    <w:basedOn w:val="DefaultParagraphFont"/>
    <w:uiPriority w:val="99"/>
    <w:semiHidden/>
    <w:unhideWhenUsed/>
    <w:rsid w:val="00753755"/>
    <w:rPr>
      <w:sz w:val="16"/>
      <w:szCs w:val="16"/>
    </w:rPr>
  </w:style>
  <w:style w:type="paragraph" w:styleId="CommentText">
    <w:name w:val="annotation text"/>
    <w:basedOn w:val="Normal"/>
    <w:link w:val="CommentTextChar"/>
    <w:uiPriority w:val="99"/>
    <w:unhideWhenUsed/>
    <w:rsid w:val="00753755"/>
    <w:pPr>
      <w:spacing w:line="240" w:lineRule="auto"/>
    </w:pPr>
    <w:rPr>
      <w:sz w:val="20"/>
      <w:szCs w:val="20"/>
    </w:rPr>
  </w:style>
  <w:style w:type="character" w:customStyle="1" w:styleId="CommentTextChar">
    <w:name w:val="Comment Text Char"/>
    <w:basedOn w:val="DefaultParagraphFont"/>
    <w:link w:val="CommentText"/>
    <w:uiPriority w:val="99"/>
    <w:rsid w:val="00753755"/>
    <w:rPr>
      <w:sz w:val="20"/>
      <w:szCs w:val="20"/>
    </w:rPr>
  </w:style>
  <w:style w:type="paragraph" w:styleId="CommentSubject">
    <w:name w:val="annotation subject"/>
    <w:basedOn w:val="CommentText"/>
    <w:next w:val="CommentText"/>
    <w:link w:val="CommentSubjectChar"/>
    <w:uiPriority w:val="99"/>
    <w:semiHidden/>
    <w:unhideWhenUsed/>
    <w:rsid w:val="00753755"/>
    <w:rPr>
      <w:b/>
      <w:bCs/>
    </w:rPr>
  </w:style>
  <w:style w:type="character" w:customStyle="1" w:styleId="CommentSubjectChar">
    <w:name w:val="Comment Subject Char"/>
    <w:basedOn w:val="CommentTextChar"/>
    <w:link w:val="CommentSubject"/>
    <w:uiPriority w:val="99"/>
    <w:semiHidden/>
    <w:rsid w:val="00753755"/>
    <w:rPr>
      <w:b/>
      <w:bCs/>
      <w:sz w:val="20"/>
      <w:szCs w:val="20"/>
    </w:rPr>
  </w:style>
  <w:style w:type="paragraph" w:styleId="Header">
    <w:name w:val="header"/>
    <w:basedOn w:val="Normal"/>
    <w:link w:val="HeaderChar"/>
    <w:uiPriority w:val="99"/>
    <w:unhideWhenUsed/>
    <w:rsid w:val="00EB53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339"/>
  </w:style>
  <w:style w:type="paragraph" w:styleId="Footer">
    <w:name w:val="footer"/>
    <w:basedOn w:val="Normal"/>
    <w:link w:val="FooterChar"/>
    <w:uiPriority w:val="99"/>
    <w:unhideWhenUsed/>
    <w:rsid w:val="00EB5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339"/>
  </w:style>
  <w:style w:type="table" w:styleId="TableGrid">
    <w:name w:val="Table Grid"/>
    <w:basedOn w:val="TableNormal"/>
    <w:uiPriority w:val="39"/>
    <w:rsid w:val="008A2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7418">
      <w:bodyDiv w:val="1"/>
      <w:marLeft w:val="0"/>
      <w:marRight w:val="0"/>
      <w:marTop w:val="0"/>
      <w:marBottom w:val="0"/>
      <w:divBdr>
        <w:top w:val="none" w:sz="0" w:space="0" w:color="auto"/>
        <w:left w:val="none" w:sz="0" w:space="0" w:color="auto"/>
        <w:bottom w:val="none" w:sz="0" w:space="0" w:color="auto"/>
        <w:right w:val="none" w:sz="0" w:space="0" w:color="auto"/>
      </w:divBdr>
    </w:div>
    <w:div w:id="252395018">
      <w:bodyDiv w:val="1"/>
      <w:marLeft w:val="0"/>
      <w:marRight w:val="0"/>
      <w:marTop w:val="0"/>
      <w:marBottom w:val="0"/>
      <w:divBdr>
        <w:top w:val="none" w:sz="0" w:space="0" w:color="auto"/>
        <w:left w:val="none" w:sz="0" w:space="0" w:color="auto"/>
        <w:bottom w:val="none" w:sz="0" w:space="0" w:color="auto"/>
        <w:right w:val="none" w:sz="0" w:space="0" w:color="auto"/>
      </w:divBdr>
    </w:div>
    <w:div w:id="336273772">
      <w:bodyDiv w:val="1"/>
      <w:marLeft w:val="0"/>
      <w:marRight w:val="0"/>
      <w:marTop w:val="0"/>
      <w:marBottom w:val="0"/>
      <w:divBdr>
        <w:top w:val="none" w:sz="0" w:space="0" w:color="auto"/>
        <w:left w:val="none" w:sz="0" w:space="0" w:color="auto"/>
        <w:bottom w:val="none" w:sz="0" w:space="0" w:color="auto"/>
        <w:right w:val="none" w:sz="0" w:space="0" w:color="auto"/>
      </w:divBdr>
    </w:div>
    <w:div w:id="361983754">
      <w:bodyDiv w:val="1"/>
      <w:marLeft w:val="0"/>
      <w:marRight w:val="0"/>
      <w:marTop w:val="0"/>
      <w:marBottom w:val="0"/>
      <w:divBdr>
        <w:top w:val="none" w:sz="0" w:space="0" w:color="auto"/>
        <w:left w:val="none" w:sz="0" w:space="0" w:color="auto"/>
        <w:bottom w:val="none" w:sz="0" w:space="0" w:color="auto"/>
        <w:right w:val="none" w:sz="0" w:space="0" w:color="auto"/>
      </w:divBdr>
    </w:div>
    <w:div w:id="726488705">
      <w:bodyDiv w:val="1"/>
      <w:marLeft w:val="0"/>
      <w:marRight w:val="0"/>
      <w:marTop w:val="0"/>
      <w:marBottom w:val="0"/>
      <w:divBdr>
        <w:top w:val="none" w:sz="0" w:space="0" w:color="auto"/>
        <w:left w:val="none" w:sz="0" w:space="0" w:color="auto"/>
        <w:bottom w:val="none" w:sz="0" w:space="0" w:color="auto"/>
        <w:right w:val="none" w:sz="0" w:space="0" w:color="auto"/>
      </w:divBdr>
    </w:div>
    <w:div w:id="1093361312">
      <w:bodyDiv w:val="1"/>
      <w:marLeft w:val="0"/>
      <w:marRight w:val="0"/>
      <w:marTop w:val="0"/>
      <w:marBottom w:val="0"/>
      <w:divBdr>
        <w:top w:val="none" w:sz="0" w:space="0" w:color="auto"/>
        <w:left w:val="none" w:sz="0" w:space="0" w:color="auto"/>
        <w:bottom w:val="none" w:sz="0" w:space="0" w:color="auto"/>
        <w:right w:val="none" w:sz="0" w:space="0" w:color="auto"/>
      </w:divBdr>
    </w:div>
    <w:div w:id="1148009376">
      <w:bodyDiv w:val="1"/>
      <w:marLeft w:val="0"/>
      <w:marRight w:val="0"/>
      <w:marTop w:val="0"/>
      <w:marBottom w:val="0"/>
      <w:divBdr>
        <w:top w:val="none" w:sz="0" w:space="0" w:color="auto"/>
        <w:left w:val="none" w:sz="0" w:space="0" w:color="auto"/>
        <w:bottom w:val="none" w:sz="0" w:space="0" w:color="auto"/>
        <w:right w:val="none" w:sz="0" w:space="0" w:color="auto"/>
      </w:divBdr>
    </w:div>
    <w:div w:id="1226183881">
      <w:bodyDiv w:val="1"/>
      <w:marLeft w:val="0"/>
      <w:marRight w:val="0"/>
      <w:marTop w:val="0"/>
      <w:marBottom w:val="0"/>
      <w:divBdr>
        <w:top w:val="none" w:sz="0" w:space="0" w:color="auto"/>
        <w:left w:val="none" w:sz="0" w:space="0" w:color="auto"/>
        <w:bottom w:val="none" w:sz="0" w:space="0" w:color="auto"/>
        <w:right w:val="none" w:sz="0" w:space="0" w:color="auto"/>
      </w:divBdr>
    </w:div>
    <w:div w:id="1317995688">
      <w:bodyDiv w:val="1"/>
      <w:marLeft w:val="0"/>
      <w:marRight w:val="0"/>
      <w:marTop w:val="0"/>
      <w:marBottom w:val="0"/>
      <w:divBdr>
        <w:top w:val="none" w:sz="0" w:space="0" w:color="auto"/>
        <w:left w:val="none" w:sz="0" w:space="0" w:color="auto"/>
        <w:bottom w:val="none" w:sz="0" w:space="0" w:color="auto"/>
        <w:right w:val="none" w:sz="0" w:space="0" w:color="auto"/>
      </w:divBdr>
    </w:div>
    <w:div w:id="1511216950">
      <w:bodyDiv w:val="1"/>
      <w:marLeft w:val="0"/>
      <w:marRight w:val="0"/>
      <w:marTop w:val="0"/>
      <w:marBottom w:val="0"/>
      <w:divBdr>
        <w:top w:val="none" w:sz="0" w:space="0" w:color="auto"/>
        <w:left w:val="none" w:sz="0" w:space="0" w:color="auto"/>
        <w:bottom w:val="none" w:sz="0" w:space="0" w:color="auto"/>
        <w:right w:val="none" w:sz="0" w:space="0" w:color="auto"/>
      </w:divBdr>
    </w:div>
    <w:div w:id="1524048642">
      <w:bodyDiv w:val="1"/>
      <w:marLeft w:val="0"/>
      <w:marRight w:val="0"/>
      <w:marTop w:val="0"/>
      <w:marBottom w:val="0"/>
      <w:divBdr>
        <w:top w:val="none" w:sz="0" w:space="0" w:color="auto"/>
        <w:left w:val="none" w:sz="0" w:space="0" w:color="auto"/>
        <w:bottom w:val="none" w:sz="0" w:space="0" w:color="auto"/>
        <w:right w:val="none" w:sz="0" w:space="0" w:color="auto"/>
      </w:divBdr>
    </w:div>
    <w:div w:id="1607423821">
      <w:bodyDiv w:val="1"/>
      <w:marLeft w:val="0"/>
      <w:marRight w:val="0"/>
      <w:marTop w:val="0"/>
      <w:marBottom w:val="0"/>
      <w:divBdr>
        <w:top w:val="none" w:sz="0" w:space="0" w:color="auto"/>
        <w:left w:val="none" w:sz="0" w:space="0" w:color="auto"/>
        <w:bottom w:val="none" w:sz="0" w:space="0" w:color="auto"/>
        <w:right w:val="none" w:sz="0" w:space="0" w:color="auto"/>
      </w:divBdr>
    </w:div>
    <w:div w:id="1698970353">
      <w:bodyDiv w:val="1"/>
      <w:marLeft w:val="0"/>
      <w:marRight w:val="0"/>
      <w:marTop w:val="0"/>
      <w:marBottom w:val="0"/>
      <w:divBdr>
        <w:top w:val="none" w:sz="0" w:space="0" w:color="auto"/>
        <w:left w:val="none" w:sz="0" w:space="0" w:color="auto"/>
        <w:bottom w:val="none" w:sz="0" w:space="0" w:color="auto"/>
        <w:right w:val="none" w:sz="0" w:space="0" w:color="auto"/>
      </w:divBdr>
    </w:div>
    <w:div w:id="17755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1430</Words>
  <Characters>8156</Characters>
  <Application>Microsoft Office Word</Application>
  <DocSecurity>0</DocSecurity>
  <Lines>67</Lines>
  <Paragraphs>19</Paragraphs>
  <ScaleCrop>false</ScaleCrop>
  <Company>SAP</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Montesinos, Rocio</dc:creator>
  <cp:keywords/>
  <dc:description/>
  <cp:lastModifiedBy>Montesinos, Rocio</cp:lastModifiedBy>
  <cp:revision>33</cp:revision>
  <dcterms:created xsi:type="dcterms:W3CDTF">2025-09-18T12:11:00Z</dcterms:created>
  <dcterms:modified xsi:type="dcterms:W3CDTF">2025-09-22T09:23:00Z</dcterms:modified>
</cp:coreProperties>
</file>